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4A33E8F2" w:rsidR="00E0332B" w:rsidRPr="00B227BD" w:rsidRDefault="00E0332B" w:rsidP="00E0332B">
      <w:pPr>
        <w:pStyle w:val="Akapitzlist"/>
        <w:spacing w:before="120" w:line="276" w:lineRule="auto"/>
        <w:jc w:val="center"/>
        <w:outlineLvl w:val="0"/>
        <w:rPr>
          <w:rFonts w:cstheme="minorHAnsi"/>
          <w:b/>
          <w:i/>
          <w:sz w:val="20"/>
          <w:szCs w:val="20"/>
        </w:rPr>
      </w:pPr>
      <w:r w:rsidRPr="00B227BD">
        <w:rPr>
          <w:rFonts w:cstheme="minorHAnsi"/>
          <w:b/>
          <w:i/>
          <w:sz w:val="20"/>
          <w:szCs w:val="20"/>
        </w:rPr>
        <w:t>„</w:t>
      </w:r>
      <w:r w:rsidR="00494B74" w:rsidRPr="00494B74">
        <w:rPr>
          <w:rFonts w:cstheme="minorHAnsi"/>
          <w:b/>
          <w:i/>
          <w:sz w:val="20"/>
          <w:szCs w:val="20"/>
        </w:rPr>
        <w:t>Wymiana wyłączników 15 kV w stacji wnętrzowej nr 57-1185 Mokrsko 6 w miejscowości Mokrsko (dz. nr 242/1, 1756) , gm. Mokrsko</w:t>
      </w:r>
      <w:r w:rsidRPr="00B227BD">
        <w:rPr>
          <w:rFonts w:cstheme="minorHAnsi"/>
          <w:b/>
          <w:i/>
          <w:sz w:val="20"/>
          <w:szCs w:val="20"/>
        </w:rPr>
        <w:t>”</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r w:rsidRPr="005A7035">
        <w:rPr>
          <w:rFonts w:cstheme="minorHAnsi"/>
          <w:sz w:val="20"/>
          <w:lang w:val="x-none"/>
        </w:rPr>
        <w:t>agospodarowa</w:t>
      </w:r>
      <w:r w:rsidRPr="005A7035">
        <w:rPr>
          <w:rFonts w:cstheme="minorHAnsi"/>
          <w:sz w:val="20"/>
        </w:rPr>
        <w:t>nie</w:t>
      </w:r>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r w:rsidRPr="005A7035">
        <w:rPr>
          <w:rFonts w:cstheme="minorHAnsi"/>
          <w:sz w:val="20"/>
          <w:lang w:val="x-none"/>
        </w:rPr>
        <w:t>rawidłowa,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r w:rsidRPr="005A7035">
        <w:rPr>
          <w:rFonts w:cstheme="minorHAnsi"/>
          <w:sz w:val="20"/>
          <w:lang w:val="x-none"/>
        </w:rPr>
        <w:t>widencjonowani</w:t>
      </w:r>
      <w:r w:rsidRPr="005A7035">
        <w:rPr>
          <w:rFonts w:cstheme="minorHAnsi"/>
          <w:sz w:val="20"/>
        </w:rPr>
        <w:t>e</w:t>
      </w:r>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r w:rsidRPr="005A7035">
        <w:rPr>
          <w:rFonts w:cstheme="minorHAnsi"/>
          <w:sz w:val="20"/>
          <w:lang w:val="x-none"/>
        </w:rPr>
        <w:t>dpowiedzialność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w:t>
      </w:r>
      <w:r w:rsidRPr="002D2118">
        <w:rPr>
          <w:rFonts w:cstheme="minorHAnsi"/>
          <w:b/>
          <w:sz w:val="20"/>
        </w:rPr>
        <w:lastRenderedPageBreak/>
        <w:t>ubezpieczeniowej, wówczas zobowiązany jest do przedstawienia Zamawiającemu 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Wytyczne w zakresie stosowania zamknięć typu Master Key</w:t>
      </w:r>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Key” (MK) firmy LOB Master Key Sp. z o. o. według poniższego schematu. </w:t>
      </w:r>
    </w:p>
    <w:p w14:paraId="7104023D" w14:textId="3FAB4AC0"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w:t>
      </w:r>
      <w:r w:rsidR="00B227BD">
        <w:rPr>
          <w:rFonts w:cstheme="minorHAnsi"/>
          <w:b/>
          <w:sz w:val="20"/>
          <w:lang w:eastAsia="pl-PL"/>
        </w:rPr>
        <w:t>3</w:t>
      </w:r>
      <w:r w:rsidRPr="00421260">
        <w:rPr>
          <w:rFonts w:cstheme="minorHAnsi"/>
          <w:b/>
          <w:sz w:val="20"/>
          <w:lang w:eastAsia="pl-PL"/>
        </w:rPr>
        <w:t>:</w:t>
      </w:r>
      <w:r w:rsidRPr="00421260">
        <w:rPr>
          <w:rFonts w:cstheme="minorHAnsi"/>
          <w:sz w:val="20"/>
          <w:lang w:eastAsia="pl-PL"/>
        </w:rPr>
        <w:t xml:space="preserve"> zamknięcia obiektów systemem MK zastosowane do pomieszczeń oraz urządzeń w stacjach 110 kV oraz SN/SN</w:t>
      </w:r>
      <w:r>
        <w:rPr>
          <w:rFonts w:cstheme="minorHAnsi"/>
          <w:sz w:val="20"/>
          <w:lang w:eastAsia="pl-PL"/>
        </w:rPr>
        <w:t>, k</w:t>
      </w:r>
      <w:r w:rsidRPr="00421260">
        <w:rPr>
          <w:rFonts w:cstheme="minorHAnsi"/>
          <w:sz w:val="20"/>
          <w:lang w:eastAsia="pl-PL"/>
        </w:rPr>
        <w:t>olor kłódki: niebieski RAL 5015.</w:t>
      </w:r>
    </w:p>
    <w:p w14:paraId="41D6D11A" w14:textId="4DD0887D"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w:t>
      </w:r>
      <w:r w:rsidR="00B227BD">
        <w:rPr>
          <w:rFonts w:cstheme="minorHAnsi"/>
          <w:b/>
          <w:sz w:val="20"/>
          <w:lang w:eastAsia="pl-PL"/>
        </w:rPr>
        <w:t>3</w:t>
      </w:r>
      <w:r w:rsidRPr="00421260">
        <w:rPr>
          <w:rFonts w:cstheme="minorHAnsi"/>
          <w:b/>
          <w:sz w:val="20"/>
          <w:lang w:eastAsia="pl-PL"/>
        </w:rPr>
        <w:t>:</w:t>
      </w:r>
      <w:r w:rsidRPr="00421260">
        <w:rPr>
          <w:rFonts w:cstheme="minorHAnsi"/>
          <w:sz w:val="20"/>
          <w:lang w:eastAsia="pl-PL"/>
        </w:rPr>
        <w:t xml:space="preserve"> zamknięcia obiektów współdzielonych systemu MK zastosowane do pomieszczeń oraz urządzeń w stacjach 110 kV oraz</w:t>
      </w:r>
      <w:r>
        <w:rPr>
          <w:rFonts w:cstheme="minorHAnsi"/>
          <w:sz w:val="20"/>
          <w:lang w:eastAsia="pl-PL"/>
        </w:rPr>
        <w:t xml:space="preserve"> SN/SN, k</w:t>
      </w:r>
      <w:r w:rsidRPr="00421260">
        <w:rPr>
          <w:rFonts w:cstheme="minorHAnsi"/>
          <w:sz w:val="20"/>
          <w:lang w:eastAsia="pl-PL"/>
        </w:rPr>
        <w:t>olor kłódki: niebieski RAL 5015.</w:t>
      </w:r>
    </w:p>
    <w:p w14:paraId="69209E7F" w14:textId="40B7F92A"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w:t>
      </w:r>
      <w:r w:rsidR="00B227BD">
        <w:rPr>
          <w:rFonts w:cstheme="minorHAnsi"/>
          <w:b/>
          <w:sz w:val="20"/>
          <w:lang w:eastAsia="pl-PL"/>
        </w:rPr>
        <w:t>3</w:t>
      </w:r>
      <w:r w:rsidRPr="00421260">
        <w:rPr>
          <w:rFonts w:cstheme="minorHAnsi"/>
          <w:sz w:val="20"/>
          <w:lang w:eastAsia="pl-PL"/>
        </w:rPr>
        <w:t>: zamknięcia systemu MK zastosowane w stacjach SN/nN,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324088F6"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w:t>
      </w:r>
      <w:r w:rsidR="00B227BD">
        <w:rPr>
          <w:rFonts w:cstheme="minorHAnsi"/>
          <w:b/>
          <w:sz w:val="20"/>
          <w:lang w:eastAsia="pl-PL"/>
        </w:rPr>
        <w:t>3</w:t>
      </w:r>
      <w:r w:rsidRPr="00421260">
        <w:rPr>
          <w:rFonts w:cstheme="minorHAnsi"/>
          <w:sz w:val="20"/>
          <w:lang w:eastAsia="pl-PL"/>
        </w:rPr>
        <w:t>: zamknięcia obiektów współdzielonych systemu MK zastosowane w stacjach SN/nN,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6F3B7C18"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w:t>
      </w:r>
      <w:r w:rsidR="00B227BD">
        <w:rPr>
          <w:rFonts w:cstheme="minorHAnsi"/>
          <w:b/>
          <w:sz w:val="20"/>
          <w:lang w:eastAsia="pl-PL"/>
        </w:rPr>
        <w:t>3</w:t>
      </w:r>
      <w:r w:rsidRPr="00421260">
        <w:rPr>
          <w:rFonts w:cstheme="minorHAnsi"/>
          <w:sz w:val="20"/>
          <w:lang w:eastAsia="pl-PL"/>
        </w:rPr>
        <w:t>: zamknięcia systemu MK zastos</w:t>
      </w:r>
      <w:r>
        <w:rPr>
          <w:rFonts w:cstheme="minorHAnsi"/>
          <w:sz w:val="20"/>
          <w:lang w:eastAsia="pl-PL"/>
        </w:rPr>
        <w:t>owane w złączach kablowych nN, kolor kłódki: brązowy</w:t>
      </w:r>
      <w:r w:rsidRPr="00421260">
        <w:rPr>
          <w:rFonts w:cstheme="minorHAnsi"/>
          <w:sz w:val="20"/>
          <w:lang w:eastAsia="pl-PL"/>
        </w:rPr>
        <w:t xml:space="preserve"> RAL 8016. </w:t>
      </w:r>
    </w:p>
    <w:p w14:paraId="77BAFBB7" w14:textId="2A0ACEDD"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w:t>
      </w:r>
      <w:r w:rsidR="00B227BD">
        <w:rPr>
          <w:rFonts w:cstheme="minorHAnsi"/>
          <w:b/>
          <w:sz w:val="20"/>
          <w:lang w:eastAsia="pl-PL"/>
        </w:rPr>
        <w:t>3</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9FBAC41"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w:t>
      </w:r>
      <w:r w:rsidR="00B227BD">
        <w:rPr>
          <w:rFonts w:cstheme="minorHAnsi"/>
          <w:b/>
          <w:sz w:val="20"/>
          <w:lang w:eastAsia="pl-PL"/>
        </w:rPr>
        <w:t>3</w:t>
      </w:r>
      <w:r w:rsidRPr="00421260">
        <w:rPr>
          <w:rFonts w:cstheme="minorHAnsi"/>
          <w:sz w:val="20"/>
          <w:lang w:eastAsia="pl-PL"/>
        </w:rPr>
        <w:t>: zamknięcia systemu MK zastosowane do szafek licznikowych nN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4FFFEB4F" w14:textId="77777777" w:rsidR="00494B74" w:rsidRPr="002D2118" w:rsidRDefault="00494B74" w:rsidP="00494B74">
      <w:pPr>
        <w:spacing w:before="120" w:line="276" w:lineRule="auto"/>
        <w:outlineLvl w:val="0"/>
        <w:rPr>
          <w:rFonts w:cstheme="minorHAnsi"/>
          <w:sz w:val="20"/>
        </w:rPr>
      </w:pPr>
      <w:r>
        <w:rPr>
          <w:rFonts w:cstheme="minorHAnsi"/>
          <w:b/>
          <w:i/>
          <w:sz w:val="20"/>
        </w:rPr>
        <w:t>30</w:t>
      </w:r>
      <w:r w:rsidRPr="002D2118">
        <w:rPr>
          <w:rFonts w:cstheme="minorHAnsi"/>
          <w:b/>
          <w:i/>
          <w:sz w:val="20"/>
        </w:rPr>
        <w:t>.</w:t>
      </w:r>
      <w:r>
        <w:rPr>
          <w:rFonts w:cstheme="minorHAnsi"/>
          <w:b/>
          <w:i/>
          <w:sz w:val="20"/>
        </w:rPr>
        <w:t>10</w:t>
      </w:r>
      <w:r w:rsidRPr="002D2118">
        <w:rPr>
          <w:rFonts w:cstheme="minorHAnsi"/>
          <w:b/>
          <w:i/>
          <w:sz w:val="20"/>
        </w:rPr>
        <w:t>.2026</w:t>
      </w:r>
      <w:r w:rsidRPr="002D2118">
        <w:rPr>
          <w:rFonts w:cstheme="minorHAnsi"/>
          <w:sz w:val="20"/>
        </w:rPr>
        <w:t xml:space="preserve"> (prace projektowe)</w:t>
      </w:r>
    </w:p>
    <w:p w14:paraId="27F3262B" w14:textId="77777777" w:rsidR="00494B74" w:rsidRPr="002D2118" w:rsidRDefault="00494B74" w:rsidP="00494B74">
      <w:pPr>
        <w:spacing w:before="120" w:line="276" w:lineRule="auto"/>
        <w:outlineLvl w:val="0"/>
        <w:rPr>
          <w:rFonts w:cstheme="minorHAnsi"/>
          <w:sz w:val="20"/>
        </w:rPr>
      </w:pPr>
      <w:r>
        <w:rPr>
          <w:rFonts w:cstheme="minorHAnsi"/>
          <w:b/>
          <w:i/>
          <w:sz w:val="20"/>
        </w:rPr>
        <w:t>05.12</w:t>
      </w:r>
      <w:r w:rsidRPr="002D2118">
        <w:rPr>
          <w:rFonts w:cstheme="minorHAnsi"/>
          <w:b/>
          <w:i/>
          <w:sz w:val="20"/>
        </w:rPr>
        <w:t xml:space="preserve">.2026 </w:t>
      </w:r>
      <w:r w:rsidRPr="002D2118">
        <w:rPr>
          <w:rFonts w:cstheme="minorHAnsi"/>
          <w:sz w:val="20"/>
        </w:rPr>
        <w:t>(roboty budowlano-montażowe)</w:t>
      </w:r>
    </w:p>
    <w:p w14:paraId="333D75DF" w14:textId="77777777"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7CA8BC45"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 xml:space="preserve">Na terenie działania: </w:t>
      </w:r>
      <w:r w:rsidR="00494B74" w:rsidRPr="00494B74">
        <w:rPr>
          <w:rFonts w:cstheme="minorHAnsi"/>
          <w:b/>
          <w:i/>
          <w:sz w:val="20"/>
        </w:rPr>
        <w:t>RE Bełchatów, miejscowość Mokrsko, gmina Mokrsko</w:t>
      </w:r>
      <w:r w:rsidRPr="002D2118">
        <w:rPr>
          <w:rFonts w:cstheme="minorHAnsi"/>
          <w:b/>
          <w:i/>
          <w:sz w:val="20"/>
        </w:rPr>
        <w:t xml:space="preserve"> </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77777777"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1BEAED79" w14:textId="77777777" w:rsidR="00E0332B" w:rsidRPr="002D2118" w:rsidRDefault="00E0332B" w:rsidP="00E0332B">
      <w:pPr>
        <w:pStyle w:val="Akapitzlist"/>
        <w:numPr>
          <w:ilvl w:val="1"/>
          <w:numId w:val="31"/>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SN/nN stanowią załącznik do niniejszej Specyfikacji (SST-transformatory)</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77777777" w:rsidR="00E0332B" w:rsidRDefault="00E0332B" w:rsidP="00E0332B">
      <w:pPr>
        <w:spacing w:before="120" w:line="276" w:lineRule="auto"/>
        <w:ind w:left="284"/>
        <w:outlineLvl w:val="0"/>
        <w:rPr>
          <w:rFonts w:cstheme="minorHAnsi"/>
          <w:sz w:val="20"/>
        </w:rPr>
      </w:pPr>
      <w:r w:rsidRPr="00E33FE1">
        <w:rPr>
          <w:rFonts w:cstheme="minorHAnsi"/>
          <w:sz w:val="20"/>
        </w:rPr>
        <w:t xml:space="preserve">Liczniki i modemy do układów bilansujących w stacjach SN/nN </w:t>
      </w:r>
      <w:r>
        <w:rPr>
          <w:rFonts w:cstheme="minorHAnsi"/>
          <w:sz w:val="20"/>
        </w:rPr>
        <w:t>(jeżeli występują w dokumentacji projektowej) stanowią dostawę Zamawiającego</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6A652455"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w:t>
      </w:r>
      <w:r w:rsidR="004367D8">
        <w:rPr>
          <w:rFonts w:cstheme="minorHAnsi"/>
          <w:sz w:val="20"/>
        </w:rPr>
        <w:t>36</w:t>
      </w:r>
      <w:r>
        <w:rPr>
          <w:rFonts w:cstheme="minorHAnsi"/>
          <w:sz w:val="20"/>
        </w:rPr>
        <w:t xml:space="preserve">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przesyłu</w:t>
      </w:r>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tanowienie służebności przesyłu</w:t>
      </w:r>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25EF928E" w14:textId="77777777" w:rsidR="00E0332B" w:rsidRDefault="00E0332B" w:rsidP="00E0332B">
      <w:pPr>
        <w:rPr>
          <w:rFonts w:cstheme="minorHAnsi"/>
          <w:sz w:val="20"/>
        </w:rPr>
      </w:pPr>
      <w:r>
        <w:rPr>
          <w:rFonts w:cstheme="minorHAnsi"/>
          <w:sz w:val="20"/>
        </w:rPr>
        <w:t>Załącznik nr 1.8 – Mapa poglądowa</w:t>
      </w:r>
    </w:p>
    <w:p w14:paraId="1C4FD1A7" w14:textId="57149549" w:rsidR="00E0332B" w:rsidRPr="00DA054A" w:rsidRDefault="00E0332B" w:rsidP="00E0332B">
      <w:pPr>
        <w:rPr>
          <w:rFonts w:cstheme="minorHAnsi"/>
          <w:sz w:val="20"/>
        </w:rPr>
      </w:pPr>
      <w:r>
        <w:rPr>
          <w:rFonts w:cstheme="minorHAnsi"/>
          <w:sz w:val="20"/>
        </w:rPr>
        <w:t>Załącznik nr 1.</w:t>
      </w:r>
      <w:r w:rsidR="00494B74">
        <w:rPr>
          <w:rFonts w:cstheme="minorHAnsi"/>
          <w:sz w:val="20"/>
        </w:rPr>
        <w:t>9</w:t>
      </w:r>
      <w:r>
        <w:rPr>
          <w:rFonts w:cstheme="minorHAnsi"/>
          <w:sz w:val="20"/>
        </w:rPr>
        <w:t xml:space="preserve">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Decyzja o ustaleniu lokalizacji inwestycji celu publicznego z załącznikiem graficznym lub Wyrys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Schematy jednokreskowe (np. linie SN, nn,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Zbiorcze zestawienia materiałów dla linii napowietrznej, kabli – SN, nN,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demontażowe (linii SN, stacji, linii nn,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umów z właścicielami gruntu o udostępnienie nieruchomości w celu budowy urządzeń energetycznych, porozumienia w sprawie ustanowienia służebności przesyłu</w:t>
      </w:r>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Akty notarialne służebności przesyłu</w:t>
      </w:r>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Sekocenbud),</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Kp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Z = 10 % (od R+S+Kp)</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o nabycie gruntu lub ustanowienie odpłatnej służebności przesyłu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i wyrys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Oświadczenie (zgoda) właściciela gruntu (z podaniem adresu zamieszkania numeru telefonu kontaktowego), o jego zbyciu lub ustanowieniu służebności przesyłu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t>Z</w:t>
      </w:r>
      <w:r>
        <w:rPr>
          <w:rFonts w:cstheme="minorHAnsi"/>
          <w:b/>
          <w:bCs/>
          <w:iCs/>
          <w:sz w:val="20"/>
        </w:rPr>
        <w:t xml:space="preserve">ałącznik nr 1.5 do SWZ - </w:t>
      </w:r>
      <w:r w:rsidRPr="007F1B03">
        <w:rPr>
          <w:rFonts w:cstheme="minorHAnsi"/>
          <w:b/>
          <w:bCs/>
          <w:iCs/>
          <w:sz w:val="20"/>
        </w:rPr>
        <w:t>Porozumienie o ustanowieniu służebności przesyłu</w:t>
      </w:r>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przesyłu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Niezbędna treść do zamieszczenia w umowie o ustanowienie służebności przesyłu</w:t>
      </w:r>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Niezbędna treść do zamieszczenia w umowie o ustanowienie służebności przesyłu</w:t>
      </w:r>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zobowiązuje się do ustanowienia na nieruchomościach opisanych w § ……niniejszego Aktu (nieruchomości obciążone) nieodpłatnie na rzecz Przedsiębiorstwa Energetycznego,  nieograniczonej w czasie służebności przesyłu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znoszeniu istnienia posadowionych na nieruchomości obciążonej urządzeń elektroenergetycznych w postaci: ……………………………………………………, służących do przesyłu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Opisana wyżej służebność przesyłu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Służebność przesyłu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Po wygaśnięciu służebności przesyłu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even" r:id="rId12"/>
      <w:headerReference w:type="default" r:id="rId13"/>
      <w:footerReference w:type="even"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290A6" w14:textId="77777777" w:rsidR="004D5187" w:rsidRDefault="004D5187" w:rsidP="00582CE9">
      <w:pPr>
        <w:spacing w:after="0"/>
      </w:pPr>
      <w:r>
        <w:separator/>
      </w:r>
    </w:p>
  </w:endnote>
  <w:endnote w:type="continuationSeparator" w:id="0">
    <w:p w14:paraId="11E0903E" w14:textId="77777777" w:rsidR="004D5187" w:rsidRDefault="004D518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33123" w14:textId="77777777" w:rsidR="00D52ED4" w:rsidRDefault="00D52ED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97415" w14:textId="77777777" w:rsidR="004D5187" w:rsidRDefault="004D5187" w:rsidP="00582CE9">
      <w:pPr>
        <w:spacing w:after="0"/>
      </w:pPr>
      <w:r>
        <w:separator/>
      </w:r>
    </w:p>
  </w:footnote>
  <w:footnote w:type="continuationSeparator" w:id="0">
    <w:p w14:paraId="1335834A" w14:textId="77777777" w:rsidR="004D5187" w:rsidRDefault="004D5187"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9B37E" w14:textId="77777777" w:rsidR="00D52ED4" w:rsidRDefault="00D52ED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188CC515" w:rsidR="00347E8D" w:rsidRPr="006B2C28" w:rsidRDefault="00D52ED4" w:rsidP="00582CE9">
          <w:pPr>
            <w:suppressAutoHyphens/>
            <w:ind w:right="187"/>
            <w:rPr>
              <w:rFonts w:asciiTheme="majorHAnsi" w:hAnsiTheme="majorHAnsi"/>
              <w:color w:val="000000" w:themeColor="text1"/>
              <w:sz w:val="14"/>
              <w:szCs w:val="18"/>
            </w:rPr>
          </w:pPr>
          <w:r w:rsidRPr="00D52ED4">
            <w:rPr>
              <w:rFonts w:asciiTheme="majorHAnsi" w:hAnsiTheme="majorHAnsi"/>
              <w:color w:val="000000" w:themeColor="text1"/>
              <w:sz w:val="14"/>
              <w:szCs w:val="18"/>
            </w:rPr>
            <w:t>POST/DYS/OLD/GZ/01132/2026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258873815">
    <w:abstractNumId w:val="21"/>
  </w:num>
  <w:num w:numId="2" w16cid:durableId="755715452">
    <w:abstractNumId w:val="9"/>
  </w:num>
  <w:num w:numId="3" w16cid:durableId="357783277">
    <w:abstractNumId w:val="15"/>
  </w:num>
  <w:num w:numId="4" w16cid:durableId="1321153734">
    <w:abstractNumId w:val="23"/>
  </w:num>
  <w:num w:numId="5" w16cid:durableId="2073767937">
    <w:abstractNumId w:val="21"/>
  </w:num>
  <w:num w:numId="6" w16cid:durableId="1389836222">
    <w:abstractNumId w:val="21"/>
  </w:num>
  <w:num w:numId="7" w16cid:durableId="431358525">
    <w:abstractNumId w:val="3"/>
  </w:num>
  <w:num w:numId="8" w16cid:durableId="885527502">
    <w:abstractNumId w:val="40"/>
  </w:num>
  <w:num w:numId="9" w16cid:durableId="1191146377">
    <w:abstractNumId w:val="19"/>
  </w:num>
  <w:num w:numId="10" w16cid:durableId="471675189">
    <w:abstractNumId w:val="4"/>
  </w:num>
  <w:num w:numId="11" w16cid:durableId="1668709791">
    <w:abstractNumId w:val="16"/>
  </w:num>
  <w:num w:numId="12" w16cid:durableId="602807105">
    <w:abstractNumId w:val="14"/>
  </w:num>
  <w:num w:numId="13" w16cid:durableId="1052076678">
    <w:abstractNumId w:val="36"/>
  </w:num>
  <w:num w:numId="14" w16cid:durableId="516844757">
    <w:abstractNumId w:val="28"/>
  </w:num>
  <w:num w:numId="15" w16cid:durableId="1438865255">
    <w:abstractNumId w:val="18"/>
  </w:num>
  <w:num w:numId="16" w16cid:durableId="1031222042">
    <w:abstractNumId w:val="11"/>
  </w:num>
  <w:num w:numId="17" w16cid:durableId="819810247">
    <w:abstractNumId w:val="5"/>
  </w:num>
  <w:num w:numId="18" w16cid:durableId="11299371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64553467">
    <w:abstractNumId w:val="0"/>
  </w:num>
  <w:num w:numId="20" w16cid:durableId="728460168">
    <w:abstractNumId w:val="42"/>
  </w:num>
  <w:num w:numId="21" w16cid:durableId="230507879">
    <w:abstractNumId w:val="1"/>
  </w:num>
  <w:num w:numId="22" w16cid:durableId="2071882817">
    <w:abstractNumId w:val="17"/>
  </w:num>
  <w:num w:numId="23" w16cid:durableId="787550776">
    <w:abstractNumId w:val="12"/>
  </w:num>
  <w:num w:numId="24" w16cid:durableId="565804556">
    <w:abstractNumId w:val="24"/>
  </w:num>
  <w:num w:numId="25" w16cid:durableId="1973173690">
    <w:abstractNumId w:val="35"/>
  </w:num>
  <w:num w:numId="26" w16cid:durableId="406801355">
    <w:abstractNumId w:val="2"/>
  </w:num>
  <w:num w:numId="27" w16cid:durableId="744425077">
    <w:abstractNumId w:val="34"/>
  </w:num>
  <w:num w:numId="28" w16cid:durableId="1654407775">
    <w:abstractNumId w:val="30"/>
  </w:num>
  <w:num w:numId="29" w16cid:durableId="19291971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9093109">
    <w:abstractNumId w:val="22"/>
  </w:num>
  <w:num w:numId="31" w16cid:durableId="794906768">
    <w:abstractNumId w:val="20"/>
  </w:num>
  <w:num w:numId="32" w16cid:durableId="21171916">
    <w:abstractNumId w:val="41"/>
  </w:num>
  <w:num w:numId="33" w16cid:durableId="1973749226">
    <w:abstractNumId w:val="26"/>
  </w:num>
  <w:num w:numId="34" w16cid:durableId="66463613">
    <w:abstractNumId w:val="25"/>
  </w:num>
  <w:num w:numId="35" w16cid:durableId="1578633318">
    <w:abstractNumId w:val="33"/>
  </w:num>
  <w:num w:numId="36" w16cid:durableId="1809323499">
    <w:abstractNumId w:val="31"/>
  </w:num>
  <w:num w:numId="37" w16cid:durableId="1831751717">
    <w:abstractNumId w:val="6"/>
  </w:num>
  <w:num w:numId="38" w16cid:durableId="1046298903">
    <w:abstractNumId w:val="13"/>
  </w:num>
  <w:num w:numId="39" w16cid:durableId="419638577">
    <w:abstractNumId w:val="37"/>
  </w:num>
  <w:num w:numId="40" w16cid:durableId="920604621">
    <w:abstractNumId w:val="8"/>
  </w:num>
  <w:num w:numId="41" w16cid:durableId="697390822">
    <w:abstractNumId w:val="38"/>
  </w:num>
  <w:num w:numId="42" w16cid:durableId="703596178">
    <w:abstractNumId w:val="29"/>
  </w:num>
  <w:num w:numId="43" w16cid:durableId="654915304">
    <w:abstractNumId w:val="43"/>
  </w:num>
  <w:num w:numId="44" w16cid:durableId="1985427283">
    <w:abstractNumId w:val="39"/>
  </w:num>
  <w:num w:numId="45" w16cid:durableId="688289958">
    <w:abstractNumId w:val="32"/>
  </w:num>
  <w:num w:numId="46" w16cid:durableId="480000538">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B7D"/>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4799"/>
    <w:rsid w:val="00094EB9"/>
    <w:rsid w:val="00096510"/>
    <w:rsid w:val="000974B1"/>
    <w:rsid w:val="000B0DBD"/>
    <w:rsid w:val="000C47A9"/>
    <w:rsid w:val="000C679C"/>
    <w:rsid w:val="000D42BE"/>
    <w:rsid w:val="000D5886"/>
    <w:rsid w:val="000E1564"/>
    <w:rsid w:val="000E459B"/>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A3129"/>
    <w:rsid w:val="002A48F7"/>
    <w:rsid w:val="002A4F2A"/>
    <w:rsid w:val="002B5C62"/>
    <w:rsid w:val="002C470F"/>
    <w:rsid w:val="002D4CAD"/>
    <w:rsid w:val="002F10CA"/>
    <w:rsid w:val="00303C67"/>
    <w:rsid w:val="00303F9D"/>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D8"/>
    <w:rsid w:val="004367FB"/>
    <w:rsid w:val="00436F85"/>
    <w:rsid w:val="0044629B"/>
    <w:rsid w:val="00446871"/>
    <w:rsid w:val="00446E2F"/>
    <w:rsid w:val="00466493"/>
    <w:rsid w:val="00473D75"/>
    <w:rsid w:val="0047759A"/>
    <w:rsid w:val="004906BC"/>
    <w:rsid w:val="004925D9"/>
    <w:rsid w:val="00492AEE"/>
    <w:rsid w:val="00494B74"/>
    <w:rsid w:val="00496273"/>
    <w:rsid w:val="004A723C"/>
    <w:rsid w:val="004B29F9"/>
    <w:rsid w:val="004C2303"/>
    <w:rsid w:val="004D154B"/>
    <w:rsid w:val="004D5187"/>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018A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E59CE"/>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8F7B6C"/>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4917"/>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27BD"/>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048D8"/>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52ED4"/>
    <w:rsid w:val="00D6344F"/>
    <w:rsid w:val="00D80E4A"/>
    <w:rsid w:val="00D9793B"/>
    <w:rsid w:val="00DA64DB"/>
    <w:rsid w:val="00DB1E5E"/>
    <w:rsid w:val="00DB2BFF"/>
    <w:rsid w:val="00DB3B99"/>
    <w:rsid w:val="00DB3F66"/>
    <w:rsid w:val="00DB4140"/>
    <w:rsid w:val="00DC76F0"/>
    <w:rsid w:val="00DC7E48"/>
    <w:rsid w:val="00DD06C0"/>
    <w:rsid w:val="00DE1789"/>
    <w:rsid w:val="00DE2A42"/>
    <w:rsid w:val="00DE3208"/>
    <w:rsid w:val="00DE5745"/>
    <w:rsid w:val="00DF0709"/>
    <w:rsid w:val="00DF2ED5"/>
    <w:rsid w:val="00E0332B"/>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5.docx</dmsv2BaseFileName>
    <dmsv2BaseDisplayName xmlns="http://schemas.microsoft.com/sharepoint/v3">Załącznik nr 1 do SWZ część 5</dmsv2BaseDisplayName>
    <dmsv2SWPP2ObjectNumber xmlns="http://schemas.microsoft.com/sharepoint/v3">POST/DYS/OLD/GZ/01132/2026                        </dmsv2SWPP2ObjectNumber>
    <dmsv2SWPP2SumMD5 xmlns="http://schemas.microsoft.com/sharepoint/v3">0bef5cfad056fbd01f734ed3c80aa0a1</dmsv2SWPP2SumMD5>
    <dmsv2BaseMoved xmlns="http://schemas.microsoft.com/sharepoint/v3">false</dmsv2BaseMoved>
    <dmsv2BaseIsSensitive xmlns="http://schemas.microsoft.com/sharepoint/v3">true</dmsv2BaseIsSensitive>
    <dmsv2SWPP2IDSWPP2 xmlns="http://schemas.microsoft.com/sharepoint/v3">712263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24837280</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FJ3FSM7XJ42E-1652426618-16637</_dlc_DocId>
    <_dlc_DocIdUrl xmlns="a19cb1c7-c5c7-46d4-85ae-d83685407bba">
      <Url>https://swpp2.dms.gkpge.pl/sites/43/_layouts/15/DocIdRedir.aspx?ID=FJ3FSM7XJ42E-1652426618-16637</Url>
      <Description>FJ3FSM7XJ42E-1652426618-16637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F2A554A-2738-4372-B313-1B40442BC3D9}"/>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3B46A916-9858-4952-A4A2-797C736662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PGE word swz test</Template>
  <TotalTime>0</TotalTime>
  <Pages>14</Pages>
  <Words>3963</Words>
  <Characters>23783</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3</cp:revision>
  <cp:lastPrinted>2024-07-15T11:21:00Z</cp:lastPrinted>
  <dcterms:created xsi:type="dcterms:W3CDTF">2026-03-31T05:46:00Z</dcterms:created>
  <dcterms:modified xsi:type="dcterms:W3CDTF">2026-03-31T05:46:00Z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d66d95cf-d64b-4bea-bd91-302aebba25ba</vt:lpwstr>
  </property>
</Properties>
</file>